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C86B6" w14:textId="458B6D88" w:rsidR="00575D07" w:rsidRPr="00CF7AE3" w:rsidRDefault="00575D07" w:rsidP="008B0895">
      <w:pPr>
        <w:pStyle w:val="SCH"/>
        <w:numPr>
          <w:ilvl w:val="0"/>
          <w:numId w:val="0"/>
        </w:numPr>
        <w:spacing w:before="120" w:line="240" w:lineRule="auto"/>
        <w:outlineLvl w:val="0"/>
        <w:rPr>
          <w:b w:val="0"/>
          <w:i w:val="0"/>
          <w:sz w:val="20"/>
        </w:rPr>
      </w:pPr>
      <w:bookmarkStart w:id="0" w:name="_Toc502148255"/>
      <w:bookmarkStart w:id="1" w:name="_Toc502142596"/>
      <w:bookmarkStart w:id="2" w:name="_Toc499813193"/>
      <w:bookmarkStart w:id="3" w:name="RefSCH13_1"/>
      <w:r w:rsidRPr="00CF7AE3">
        <w:rPr>
          <w:b w:val="0"/>
          <w:i w:val="0"/>
          <w:sz w:val="20"/>
        </w:rPr>
        <w:t xml:space="preserve">Приложение </w:t>
      </w:r>
      <w:bookmarkStart w:id="4" w:name="RefSCH12_No"/>
      <w:r w:rsidRPr="00CF7AE3">
        <w:rPr>
          <w:b w:val="0"/>
          <w:i w:val="0"/>
          <w:sz w:val="20"/>
        </w:rPr>
        <w:t>№</w:t>
      </w:r>
      <w:bookmarkEnd w:id="4"/>
      <w:r w:rsidR="00CF7AE3" w:rsidRPr="00CF7AE3">
        <w:rPr>
          <w:b w:val="0"/>
          <w:i w:val="0"/>
          <w:sz w:val="20"/>
        </w:rPr>
        <w:t>5</w:t>
      </w:r>
      <w:r w:rsidR="00A71772" w:rsidRPr="00CF7AE3">
        <w:rPr>
          <w:b w:val="0"/>
          <w:i w:val="0"/>
          <w:sz w:val="20"/>
        </w:rPr>
        <w:t xml:space="preserve"> к</w:t>
      </w:r>
      <w:r w:rsidR="003D7457" w:rsidRPr="00CF7AE3">
        <w:rPr>
          <w:b w:val="0"/>
          <w:i w:val="0"/>
          <w:sz w:val="20"/>
        </w:rPr>
        <w:t xml:space="preserve"> договору подряда №</w:t>
      </w:r>
      <w:r w:rsidR="00363876" w:rsidRPr="00CF7AE3">
        <w:rPr>
          <w:b w:val="0"/>
          <w:i w:val="0"/>
          <w:sz w:val="20"/>
        </w:rPr>
        <w:t xml:space="preserve"> </w:t>
      </w:r>
      <w:r w:rsidR="005606ED">
        <w:rPr>
          <w:b w:val="0"/>
          <w:i w:val="0"/>
          <w:sz w:val="20"/>
        </w:rPr>
        <w:t>___</w:t>
      </w:r>
      <w:r w:rsidR="00363876" w:rsidRPr="00CF7AE3">
        <w:rPr>
          <w:b w:val="0"/>
          <w:i w:val="0"/>
          <w:sz w:val="20"/>
        </w:rPr>
        <w:t xml:space="preserve"> </w:t>
      </w:r>
      <w:r w:rsidR="003D7457" w:rsidRPr="00CF7AE3">
        <w:rPr>
          <w:b w:val="0"/>
          <w:i w:val="0"/>
          <w:sz w:val="20"/>
        </w:rPr>
        <w:t xml:space="preserve">от </w:t>
      </w:r>
      <w:r w:rsidR="00A50092" w:rsidRPr="00CF7AE3">
        <w:rPr>
          <w:b w:val="0"/>
          <w:i w:val="0"/>
          <w:sz w:val="20"/>
        </w:rPr>
        <w:t xml:space="preserve">«_____» </w:t>
      </w:r>
      <w:r w:rsidR="00FA3314" w:rsidRPr="00CF7AE3">
        <w:rPr>
          <w:b w:val="0"/>
          <w:i w:val="0"/>
          <w:sz w:val="20"/>
        </w:rPr>
        <w:t>_________</w:t>
      </w:r>
      <w:r w:rsidR="00A50092" w:rsidRPr="00CF7AE3">
        <w:rPr>
          <w:b w:val="0"/>
          <w:i w:val="0"/>
          <w:sz w:val="20"/>
        </w:rPr>
        <w:t xml:space="preserve"> 202</w:t>
      </w:r>
      <w:r w:rsidR="00FA3314" w:rsidRPr="00CF7AE3">
        <w:rPr>
          <w:b w:val="0"/>
          <w:i w:val="0"/>
          <w:sz w:val="20"/>
        </w:rPr>
        <w:t>___</w:t>
      </w:r>
      <w:r w:rsidR="00A50092" w:rsidRPr="00CF7AE3">
        <w:rPr>
          <w:b w:val="0"/>
          <w:i w:val="0"/>
          <w:sz w:val="2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bookmarkStart w:id="5" w:name="_GoBack"/>
      <w:bookmarkEnd w:id="5"/>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w:t>
      </w:r>
      <w:r w:rsidRPr="00575D07">
        <w:rPr>
          <w:b w:val="0"/>
          <w:i w:val="0"/>
          <w:color w:val="auto"/>
          <w:sz w:val="24"/>
          <w:szCs w:val="24"/>
        </w:rPr>
        <w:lastRenderedPageBreak/>
        <w:t>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17B261D7" w14:textId="480E0A02" w:rsidR="008B0895" w:rsidRPr="002A00A1" w:rsidRDefault="00575D07" w:rsidP="002A00A1">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03C3B2B1" w14:textId="77777777" w:rsidR="00EC2D21"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p>
    <w:p w14:paraId="1CBC41FF" w14:textId="73FE7461" w:rsidR="00575D07" w:rsidRPr="00575D07" w:rsidRDefault="00575D07" w:rsidP="00EC2D21">
      <w:pPr>
        <w:pStyle w:val="a6"/>
        <w:tabs>
          <w:tab w:val="left" w:pos="1134"/>
        </w:tabs>
        <w:ind w:left="567"/>
        <w:rPr>
          <w:b w:val="0"/>
          <w:i w:val="0"/>
          <w:color w:val="auto"/>
          <w:sz w:val="24"/>
          <w:szCs w:val="24"/>
        </w:rPr>
      </w:pPr>
      <w:r w:rsidRPr="00575D07">
        <w:rPr>
          <w:sz w:val="24"/>
          <w:szCs w:val="24"/>
        </w:rPr>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ABE5C" w14:textId="77777777" w:rsidR="00575525" w:rsidRDefault="00575525" w:rsidP="00DD2A8B">
      <w:r>
        <w:separator/>
      </w:r>
    </w:p>
  </w:endnote>
  <w:endnote w:type="continuationSeparator" w:id="0">
    <w:p w14:paraId="1AFC33C5" w14:textId="77777777" w:rsidR="00575525" w:rsidRDefault="00575525"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A5159" w14:textId="77777777" w:rsidR="00575525" w:rsidRDefault="00575525" w:rsidP="00DD2A8B">
      <w:r>
        <w:separator/>
      </w:r>
    </w:p>
  </w:footnote>
  <w:footnote w:type="continuationSeparator" w:id="0">
    <w:p w14:paraId="10F94F50" w14:textId="77777777" w:rsidR="00575525" w:rsidRDefault="00575525"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A00A1"/>
    <w:rsid w:val="002B5961"/>
    <w:rsid w:val="002F4DB6"/>
    <w:rsid w:val="00337719"/>
    <w:rsid w:val="00340B82"/>
    <w:rsid w:val="00340CEF"/>
    <w:rsid w:val="003413DA"/>
    <w:rsid w:val="00363876"/>
    <w:rsid w:val="003D7457"/>
    <w:rsid w:val="00461EA2"/>
    <w:rsid w:val="0046599A"/>
    <w:rsid w:val="00481838"/>
    <w:rsid w:val="00483C75"/>
    <w:rsid w:val="004B70A0"/>
    <w:rsid w:val="004E76C8"/>
    <w:rsid w:val="00541E48"/>
    <w:rsid w:val="0055177C"/>
    <w:rsid w:val="005560DD"/>
    <w:rsid w:val="005606ED"/>
    <w:rsid w:val="00575525"/>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CF7AE3"/>
    <w:rsid w:val="00D30C90"/>
    <w:rsid w:val="00D82219"/>
    <w:rsid w:val="00D85038"/>
    <w:rsid w:val="00DB43C8"/>
    <w:rsid w:val="00DD2A8B"/>
    <w:rsid w:val="00DF0C75"/>
    <w:rsid w:val="00E361B3"/>
    <w:rsid w:val="00E82925"/>
    <w:rsid w:val="00EA500B"/>
    <w:rsid w:val="00EC2D21"/>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2580</Words>
  <Characters>14706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Шилина Екатерина Яковлевна</cp:lastModifiedBy>
  <cp:revision>92</cp:revision>
  <dcterms:created xsi:type="dcterms:W3CDTF">2020-05-27T08:45:00Z</dcterms:created>
  <dcterms:modified xsi:type="dcterms:W3CDTF">2025-12-17T00:41:00Z</dcterms:modified>
</cp:coreProperties>
</file>